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62784" w14:textId="77777777" w:rsidR="005F7A47" w:rsidRDefault="005F7A47">
      <w:pPr>
        <w:pBdr>
          <w:bottom w:val="single" w:sz="12" w:space="1" w:color="auto"/>
        </w:pBdr>
        <w:spacing w:line="288" w:lineRule="auto"/>
        <w:jc w:val="both"/>
        <w:rPr>
          <w:b/>
          <w:caps/>
          <w:sz w:val="22"/>
          <w:szCs w:val="22"/>
        </w:rPr>
      </w:pPr>
    </w:p>
    <w:p w14:paraId="43C6C8E5" w14:textId="77777777" w:rsidR="005F7A47" w:rsidRDefault="005F7A47">
      <w:pPr>
        <w:pBdr>
          <w:bottom w:val="single" w:sz="12" w:space="1" w:color="auto"/>
        </w:pBdr>
        <w:spacing w:line="288" w:lineRule="auto"/>
        <w:jc w:val="both"/>
        <w:rPr>
          <w:b/>
          <w:caps/>
          <w:sz w:val="22"/>
          <w:szCs w:val="22"/>
        </w:rPr>
      </w:pPr>
    </w:p>
    <w:p w14:paraId="2E44B4F3" w14:textId="2DDCE105" w:rsidR="005F7A47" w:rsidRPr="0051372D" w:rsidRDefault="005F7A47">
      <w:pPr>
        <w:pBdr>
          <w:bottom w:val="single" w:sz="12" w:space="1" w:color="auto"/>
        </w:pBdr>
        <w:spacing w:line="288" w:lineRule="auto"/>
        <w:jc w:val="both"/>
        <w:rPr>
          <w:rFonts w:asciiTheme="minorHAnsi" w:hAnsiTheme="minorHAnsi" w:cstheme="minorHAnsi"/>
          <w:b/>
          <w:caps/>
          <w:sz w:val="24"/>
          <w:szCs w:val="24"/>
        </w:rPr>
      </w:pPr>
      <w:bookmarkStart w:id="0" w:name="_Hlk100071143"/>
      <w:r w:rsidRPr="0051372D">
        <w:rPr>
          <w:rFonts w:asciiTheme="minorHAnsi" w:hAnsiTheme="minorHAnsi" w:cstheme="minorHAnsi"/>
          <w:b/>
          <w:caps/>
          <w:sz w:val="24"/>
          <w:szCs w:val="24"/>
        </w:rPr>
        <w:t>Styrelsen för setra group AB</w:t>
      </w:r>
      <w:r w:rsidR="00431E9B" w:rsidRPr="0051372D">
        <w:rPr>
          <w:rFonts w:asciiTheme="minorHAnsi" w:hAnsiTheme="minorHAnsi" w:cstheme="minorHAnsi"/>
          <w:b/>
          <w:caps/>
          <w:sz w:val="24"/>
          <w:szCs w:val="24"/>
        </w:rPr>
        <w:t>:s</w:t>
      </w:r>
      <w:r w:rsidRPr="0051372D">
        <w:rPr>
          <w:rFonts w:asciiTheme="minorHAnsi" w:hAnsiTheme="minorHAnsi" w:cstheme="minorHAnsi"/>
          <w:b/>
          <w:caps/>
          <w:sz w:val="24"/>
          <w:szCs w:val="24"/>
        </w:rPr>
        <w:t xml:space="preserve"> </w:t>
      </w:r>
      <w:bookmarkEnd w:id="0"/>
      <w:r w:rsidRPr="0051372D">
        <w:rPr>
          <w:rFonts w:asciiTheme="minorHAnsi" w:hAnsiTheme="minorHAnsi" w:cstheme="minorHAnsi"/>
          <w:b/>
          <w:caps/>
          <w:sz w:val="24"/>
          <w:szCs w:val="24"/>
        </w:rPr>
        <w:t>förslag till RIKTLINJER FÖR ERSÄTTNING TILL LED</w:t>
      </w:r>
      <w:r w:rsidR="00923A78" w:rsidRPr="0051372D">
        <w:rPr>
          <w:rFonts w:asciiTheme="minorHAnsi" w:hAnsiTheme="minorHAnsi" w:cstheme="minorHAnsi"/>
          <w:b/>
          <w:caps/>
          <w:sz w:val="24"/>
          <w:szCs w:val="24"/>
        </w:rPr>
        <w:t>ANDE BEFATTNINGSHAVARE (punkt 14</w:t>
      </w:r>
      <w:r w:rsidRPr="0051372D">
        <w:rPr>
          <w:rFonts w:asciiTheme="minorHAnsi" w:hAnsiTheme="minorHAnsi" w:cstheme="minorHAnsi"/>
          <w:b/>
          <w:caps/>
          <w:sz w:val="24"/>
          <w:szCs w:val="24"/>
        </w:rPr>
        <w:t xml:space="preserve"> på dagordningen) </w:t>
      </w:r>
    </w:p>
    <w:p w14:paraId="6DBCD736" w14:textId="77777777" w:rsidR="00431F8A" w:rsidRDefault="00431F8A">
      <w:pPr>
        <w:pBdr>
          <w:bottom w:val="single" w:sz="12" w:space="1" w:color="auto"/>
        </w:pBdr>
        <w:spacing w:line="288" w:lineRule="auto"/>
        <w:jc w:val="both"/>
        <w:rPr>
          <w:b/>
          <w:caps/>
          <w:sz w:val="22"/>
          <w:szCs w:val="22"/>
        </w:rPr>
      </w:pPr>
    </w:p>
    <w:p w14:paraId="1CDE8906" w14:textId="77777777" w:rsidR="005F7A47" w:rsidRDefault="005F7A47">
      <w:pPr>
        <w:spacing w:line="288" w:lineRule="auto"/>
        <w:ind w:left="5040" w:hanging="5040"/>
        <w:jc w:val="both"/>
        <w:rPr>
          <w:sz w:val="22"/>
          <w:szCs w:val="22"/>
        </w:rPr>
      </w:pPr>
    </w:p>
    <w:p w14:paraId="49404A67" w14:textId="242F3CC1" w:rsidR="00A37268" w:rsidRPr="0051372D" w:rsidRDefault="00A37268" w:rsidP="00A37268">
      <w:pPr>
        <w:pStyle w:val="Oformateradtext"/>
        <w:jc w:val="both"/>
        <w:rPr>
          <w:rFonts w:asciiTheme="majorHAnsi" w:hAnsiTheme="majorHAnsi" w:cstheme="majorHAnsi"/>
          <w:sz w:val="22"/>
          <w:szCs w:val="22"/>
        </w:rPr>
      </w:pPr>
      <w:r w:rsidRPr="0051372D">
        <w:rPr>
          <w:rFonts w:asciiTheme="majorHAnsi" w:hAnsiTheme="majorHAnsi" w:cstheme="majorHAnsi"/>
          <w:sz w:val="22"/>
          <w:szCs w:val="22"/>
        </w:rPr>
        <w:t>Styrelsen föreslår följande riktlinjer för ersättning till ledande befattningshavare. Med ledande befattningshavare avses verkställande direktören samt de personer som ingår i koncernledningen. Ersättning till verkställande direktören och övriga personer i företagsledningen skall utgöras av fast lön, övriga förmåner och avsättning till pension. Den sammanlagda ersättningen skall vara marknadsmässig och konkurrenskraftig samt stå i relation till ansvar och befogenheter.</w:t>
      </w:r>
    </w:p>
    <w:p w14:paraId="580A2C3E" w14:textId="77777777" w:rsidR="00A37268" w:rsidRPr="0051372D" w:rsidRDefault="00A37268" w:rsidP="00A37268">
      <w:pPr>
        <w:pStyle w:val="Oformateradtext"/>
        <w:jc w:val="both"/>
        <w:rPr>
          <w:rFonts w:asciiTheme="majorHAnsi" w:hAnsiTheme="majorHAnsi" w:cstheme="majorHAnsi"/>
          <w:sz w:val="22"/>
          <w:szCs w:val="22"/>
        </w:rPr>
      </w:pPr>
    </w:p>
    <w:p w14:paraId="31FF0112" w14:textId="77777777" w:rsidR="00A37268" w:rsidRPr="0051372D" w:rsidRDefault="00A37268" w:rsidP="00A37268">
      <w:pPr>
        <w:pStyle w:val="Oformateradtext"/>
        <w:jc w:val="both"/>
        <w:rPr>
          <w:rFonts w:asciiTheme="majorHAnsi" w:hAnsiTheme="majorHAnsi" w:cstheme="majorHAnsi"/>
          <w:sz w:val="22"/>
          <w:szCs w:val="22"/>
        </w:rPr>
      </w:pPr>
      <w:r w:rsidRPr="0051372D">
        <w:rPr>
          <w:rFonts w:asciiTheme="majorHAnsi" w:hAnsiTheme="majorHAnsi" w:cstheme="majorHAnsi"/>
          <w:sz w:val="22"/>
          <w:szCs w:val="22"/>
        </w:rPr>
        <w:t>Vid uppsägning av anställningsavtal från bolagets sida ska uppsägningstiden inte överstiga sex månader och avgångsvederlag utgår med högst 12 månadslöner. Inkomst från annan anställning ska avräknas mot avgångsvederlaget. Avgångsvederlag är varken pensions- eller semestergrundande. Pensionsåldern för företagsledningen skall i det normala fallet vara 65 år. Betalning av premier för verkställande direktörens tjänstepensionsförsäkring uppgår till 30 procent av den fasta lönen. Ordinarie pension följder ITP-planen för övriga ledande befattningshavare.</w:t>
      </w:r>
    </w:p>
    <w:p w14:paraId="00927607" w14:textId="77777777" w:rsidR="00A37268" w:rsidRPr="0051372D" w:rsidRDefault="00A37268" w:rsidP="00A37268">
      <w:pPr>
        <w:pStyle w:val="Oformateradtext"/>
        <w:jc w:val="both"/>
        <w:rPr>
          <w:rFonts w:asciiTheme="majorHAnsi" w:hAnsiTheme="majorHAnsi" w:cstheme="majorHAnsi"/>
          <w:sz w:val="22"/>
          <w:szCs w:val="22"/>
        </w:rPr>
      </w:pPr>
    </w:p>
    <w:p w14:paraId="76E0DCBB" w14:textId="0DC6ABBC" w:rsidR="00A37268" w:rsidRPr="0051372D" w:rsidRDefault="00A37268" w:rsidP="00A37268">
      <w:pPr>
        <w:pStyle w:val="Oformateradtext"/>
        <w:jc w:val="both"/>
        <w:rPr>
          <w:rFonts w:asciiTheme="majorHAnsi" w:hAnsiTheme="majorHAnsi" w:cstheme="majorHAnsi"/>
          <w:sz w:val="22"/>
          <w:szCs w:val="22"/>
        </w:rPr>
      </w:pPr>
      <w:r w:rsidRPr="0051372D">
        <w:rPr>
          <w:rFonts w:asciiTheme="majorHAnsi" w:hAnsiTheme="majorHAnsi" w:cstheme="majorHAnsi"/>
          <w:sz w:val="22"/>
          <w:szCs w:val="22"/>
        </w:rPr>
        <w:t>Styrelsen får frångå dessa riktlinjer endast om det i ett enskilt fall finns särskilda skäl för det.</w:t>
      </w:r>
    </w:p>
    <w:p w14:paraId="1F1C5327" w14:textId="77777777" w:rsidR="005F7A47" w:rsidRDefault="005F7A47">
      <w:pPr>
        <w:pStyle w:val="Brdtext2"/>
        <w:tabs>
          <w:tab w:val="left" w:pos="567"/>
        </w:tabs>
        <w:jc w:val="center"/>
        <w:rPr>
          <w:sz w:val="22"/>
          <w:szCs w:val="22"/>
        </w:rPr>
      </w:pPr>
    </w:p>
    <w:p w14:paraId="1CAEC6A7" w14:textId="77777777" w:rsidR="005F7A47" w:rsidRDefault="005F7A47">
      <w:pPr>
        <w:pStyle w:val="Brdtext2"/>
        <w:tabs>
          <w:tab w:val="left" w:pos="567"/>
        </w:tabs>
        <w:jc w:val="center"/>
        <w:rPr>
          <w:sz w:val="22"/>
        </w:rPr>
      </w:pPr>
      <w:r>
        <w:rPr>
          <w:sz w:val="22"/>
        </w:rPr>
        <w:t>__________________________</w:t>
      </w:r>
    </w:p>
    <w:sectPr w:rsidR="005F7A47">
      <w:headerReference w:type="even" r:id="rId6"/>
      <w:headerReference w:type="default" r:id="rId7"/>
      <w:headerReference w:type="first" r:id="rId8"/>
      <w:pgSz w:w="11906" w:h="16838"/>
      <w:pgMar w:top="1134" w:right="1701"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64BC8" w14:textId="77777777" w:rsidR="007C31A5" w:rsidRDefault="007C31A5">
      <w:r>
        <w:separator/>
      </w:r>
    </w:p>
  </w:endnote>
  <w:endnote w:type="continuationSeparator" w:id="0">
    <w:p w14:paraId="263F1A69" w14:textId="77777777" w:rsidR="007C31A5" w:rsidRDefault="007C3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7B315" w14:textId="77777777" w:rsidR="007C31A5" w:rsidRDefault="007C31A5">
      <w:r>
        <w:separator/>
      </w:r>
    </w:p>
  </w:footnote>
  <w:footnote w:type="continuationSeparator" w:id="0">
    <w:p w14:paraId="4BBE46F6" w14:textId="77777777" w:rsidR="007C31A5" w:rsidRDefault="007C3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2CA2E" w14:textId="77777777" w:rsidR="005F7A47" w:rsidRDefault="005F7A47">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1</w:t>
    </w:r>
    <w:r>
      <w:rPr>
        <w:rStyle w:val="Sidnummer"/>
      </w:rPr>
      <w:fldChar w:fldCharType="end"/>
    </w:r>
  </w:p>
  <w:p w14:paraId="5B630427" w14:textId="77777777" w:rsidR="005F7A47" w:rsidRDefault="005F7A47">
    <w:pPr>
      <w:pStyle w:val="Sidhuvud"/>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57006" w14:textId="77777777" w:rsidR="005F7A47" w:rsidRDefault="005F7A47">
    <w:pPr>
      <w:pStyle w:val="Sidhuvud"/>
      <w:framePr w:wrap="around" w:vAnchor="text" w:hAnchor="margin" w:xAlign="right" w:y="1"/>
      <w:rPr>
        <w:rStyle w:val="Sidnummer"/>
        <w:sz w:val="24"/>
      </w:rPr>
    </w:pPr>
    <w:r>
      <w:rPr>
        <w:rStyle w:val="Sidnummer"/>
        <w:sz w:val="24"/>
      </w:rPr>
      <w:fldChar w:fldCharType="begin"/>
    </w:r>
    <w:r>
      <w:rPr>
        <w:rStyle w:val="Sidnummer"/>
        <w:sz w:val="24"/>
      </w:rPr>
      <w:instrText xml:space="preserve">PAGE  </w:instrText>
    </w:r>
    <w:r>
      <w:rPr>
        <w:rStyle w:val="Sidnummer"/>
        <w:sz w:val="24"/>
      </w:rPr>
      <w:fldChar w:fldCharType="separate"/>
    </w:r>
    <w:r>
      <w:rPr>
        <w:rStyle w:val="Sidnummer"/>
        <w:noProof/>
        <w:sz w:val="24"/>
      </w:rPr>
      <w:t>2</w:t>
    </w:r>
    <w:r>
      <w:rPr>
        <w:rStyle w:val="Sidnummer"/>
        <w:sz w:val="24"/>
      </w:rPr>
      <w:fldChar w:fldCharType="end"/>
    </w:r>
  </w:p>
  <w:p w14:paraId="1EC74982" w14:textId="77777777" w:rsidR="005F7A47" w:rsidRDefault="005F7A47">
    <w:pPr>
      <w:pStyle w:val="Sidhuvud"/>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F06AF" w14:textId="77777777" w:rsidR="0051372D" w:rsidRDefault="0051372D">
    <w:pPr>
      <w:pStyle w:val="Sidhuvud"/>
    </w:pPr>
  </w:p>
  <w:p w14:paraId="7AD4A03D" w14:textId="77777777" w:rsidR="0051372D" w:rsidRDefault="0051372D">
    <w:pPr>
      <w:pStyle w:val="Sidhuvud"/>
    </w:pPr>
  </w:p>
  <w:p w14:paraId="0332D227" w14:textId="3BB07065" w:rsidR="005F7A47" w:rsidRDefault="00D27AB0">
    <w:pPr>
      <w:pStyle w:val="Sidhuvud"/>
    </w:pPr>
    <w:r>
      <w:rPr>
        <w:noProof/>
      </w:rPr>
      <w:pict w14:anchorId="3D733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1266" type="#_x0000_t75" style="position:absolute;margin-left:437.2pt;margin-top:41.7pt;width:113.4pt;height:28.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v:imagedata r:id="rId1" o:title=""/>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1267"/>
    <o:shapelayout v:ext="edit">
      <o:idmap v:ext="edit" data="1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46B8"/>
    <w:rsid w:val="00020810"/>
    <w:rsid w:val="00040CC7"/>
    <w:rsid w:val="000F3CC5"/>
    <w:rsid w:val="002C6393"/>
    <w:rsid w:val="00431E9B"/>
    <w:rsid w:val="00431F8A"/>
    <w:rsid w:val="0051372D"/>
    <w:rsid w:val="005263E7"/>
    <w:rsid w:val="005D46B8"/>
    <w:rsid w:val="005F7A47"/>
    <w:rsid w:val="006F2856"/>
    <w:rsid w:val="0072511D"/>
    <w:rsid w:val="007C31A5"/>
    <w:rsid w:val="007D3043"/>
    <w:rsid w:val="00923A78"/>
    <w:rsid w:val="009321FB"/>
    <w:rsid w:val="00950EB2"/>
    <w:rsid w:val="009819AA"/>
    <w:rsid w:val="009D6EEE"/>
    <w:rsid w:val="00A37268"/>
    <w:rsid w:val="00AB37B3"/>
    <w:rsid w:val="00AF501F"/>
    <w:rsid w:val="00B335C9"/>
    <w:rsid w:val="00B870AA"/>
    <w:rsid w:val="00B93AEF"/>
    <w:rsid w:val="00C00513"/>
    <w:rsid w:val="00C2566A"/>
    <w:rsid w:val="00C72C39"/>
    <w:rsid w:val="00C87030"/>
    <w:rsid w:val="00D27AB0"/>
    <w:rsid w:val="00D97D64"/>
    <w:rsid w:val="00E82619"/>
    <w:rsid w:val="00F077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7"/>
    <o:shapelayout v:ext="edit">
      <o:idmap v:ext="edit" data="1"/>
    </o:shapelayout>
  </w:shapeDefaults>
  <w:decimalSymbol w:val=","/>
  <w:listSeparator w:val=";"/>
  <w14:docId w14:val="1497562C"/>
  <w15:chartTrackingRefBased/>
  <w15:docId w15:val="{8C5DE9BC-6E06-4F0B-80EE-4B7C4AA53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pPr>
      <w:tabs>
        <w:tab w:val="right" w:pos="8222"/>
      </w:tabs>
      <w:spacing w:line="288" w:lineRule="auto"/>
    </w:pPr>
    <w:rPr>
      <w:b/>
      <w:sz w:val="24"/>
    </w:rPr>
  </w:style>
  <w:style w:type="paragraph" w:styleId="Brdtext2">
    <w:name w:val="Body Text 2"/>
    <w:basedOn w:val="Normal"/>
    <w:pPr>
      <w:tabs>
        <w:tab w:val="right" w:pos="8505"/>
      </w:tabs>
      <w:spacing w:line="288" w:lineRule="auto"/>
    </w:pPr>
    <w:rPr>
      <w:sz w:val="24"/>
    </w:rPr>
  </w:style>
  <w:style w:type="paragraph" w:styleId="Sidhuvud">
    <w:name w:val="header"/>
    <w:basedOn w:val="Normal"/>
    <w:pPr>
      <w:tabs>
        <w:tab w:val="center" w:pos="4536"/>
        <w:tab w:val="right" w:pos="9072"/>
      </w:tabs>
    </w:pPr>
  </w:style>
  <w:style w:type="character" w:styleId="Sidnummer">
    <w:name w:val="page number"/>
    <w:basedOn w:val="Standardstycketeckensnitt"/>
  </w:style>
  <w:style w:type="paragraph" w:styleId="Sidfot">
    <w:name w:val="footer"/>
    <w:basedOn w:val="Normal"/>
    <w:pPr>
      <w:tabs>
        <w:tab w:val="center" w:pos="4536"/>
        <w:tab w:val="right" w:pos="9072"/>
      </w:tabs>
    </w:pPr>
  </w:style>
  <w:style w:type="paragraph" w:styleId="Brdtextmedindrag">
    <w:name w:val="Body Text Indent"/>
    <w:basedOn w:val="Normal"/>
    <w:pPr>
      <w:ind w:hanging="28"/>
    </w:pPr>
  </w:style>
  <w:style w:type="paragraph" w:styleId="Brdtext3">
    <w:name w:val="Body Text 3"/>
    <w:basedOn w:val="Normal"/>
    <w:rPr>
      <w:sz w:val="22"/>
    </w:rPr>
  </w:style>
  <w:style w:type="paragraph" w:styleId="Ballongtext">
    <w:name w:val="Balloon Text"/>
    <w:basedOn w:val="Normal"/>
    <w:semiHidden/>
    <w:rPr>
      <w:rFonts w:ascii="Tahoma" w:hAnsi="Tahoma" w:cs="Tahoma"/>
      <w:sz w:val="16"/>
      <w:szCs w:val="16"/>
    </w:rPr>
  </w:style>
  <w:style w:type="paragraph" w:styleId="Oformateradtext">
    <w:name w:val="Plain Text"/>
    <w:basedOn w:val="Normal"/>
    <w:link w:val="OformateradtextChar"/>
    <w:rPr>
      <w:rFonts w:ascii="Courier New" w:hAnsi="Courier New" w:cs="Courier New"/>
      <w:sz w:val="20"/>
      <w:lang w:eastAsia="en-US"/>
    </w:rPr>
  </w:style>
  <w:style w:type="paragraph" w:customStyle="1" w:styleId="LinklatersHeader">
    <w:name w:val="Linklaters Header"/>
    <w:basedOn w:val="Normal"/>
    <w:rsid w:val="00AB37B3"/>
    <w:rPr>
      <w:rFonts w:ascii="Arial" w:hAnsi="Arial"/>
      <w:kern w:val="20"/>
      <w:sz w:val="20"/>
      <w:szCs w:val="24"/>
      <w:lang w:eastAsia="en-US"/>
    </w:rPr>
  </w:style>
  <w:style w:type="character" w:customStyle="1" w:styleId="OformateradtextChar">
    <w:name w:val="Oformaterad text Char"/>
    <w:link w:val="Oformateradtext"/>
    <w:rsid w:val="00A37268"/>
    <w:rPr>
      <w:rFonts w:ascii="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205</Words>
  <Characters>1087</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STYRELSENS FÖR DISPLAYIT ABs FÖRSLAG TILL BESLUT VID ORDINARIE BOLAGSSTÄMMA DEN 29 APRIL 2004 OM UT-GIVANDE AV SKULDEBREV FÖRENADE MED OPTIONSRÄTT TILL NY-TECKNING AV AKTIER</vt:lpstr>
    </vt:vector>
  </TitlesOfParts>
  <Company>ADV.Firman Cederquist</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STYRELSENS FÖR DISPLAYIT ABs FÖRSLAG TILL BESLUT VID ORDINARIE BOLAGSSTÄMMA DEN 29 APRIL 2004 OM UT-GIVANDE AV SKULDEBREV FÖRENADE MED OPTIONSRÄTT TILL NY-TECKNING AV AKTIER</dc:title>
  <dc:subject/>
  <dc:creator>Tone Myhre-Jensen</dc:creator>
  <cp:keywords/>
  <cp:lastModifiedBy>Andreas Sojé</cp:lastModifiedBy>
  <cp:revision>7</cp:revision>
  <cp:lastPrinted>2008-03-14T07:15:00Z</cp:lastPrinted>
  <dcterms:created xsi:type="dcterms:W3CDTF">2021-03-29T06:58:00Z</dcterms:created>
  <dcterms:modified xsi:type="dcterms:W3CDTF">2025-04-07T14:42:00Z</dcterms:modified>
</cp:coreProperties>
</file>